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BF" w:rsidRPr="006B461B" w:rsidRDefault="00FA42BF" w:rsidP="00B752C2">
      <w:pPr>
        <w:jc w:val="center"/>
        <w:rPr>
          <w:b/>
          <w:sz w:val="28"/>
          <w:szCs w:val="28"/>
        </w:rPr>
      </w:pPr>
      <w:r w:rsidRPr="006B461B">
        <w:rPr>
          <w:b/>
          <w:sz w:val="28"/>
          <w:szCs w:val="28"/>
        </w:rPr>
        <w:t xml:space="preserve">Review/Closing </w:t>
      </w:r>
      <w:r w:rsidR="0067223D" w:rsidRPr="006B461B">
        <w:rPr>
          <w:b/>
          <w:sz w:val="28"/>
          <w:szCs w:val="28"/>
        </w:rPr>
        <w:t>Activity</w:t>
      </w:r>
    </w:p>
    <w:p w:rsidR="00565FC9" w:rsidRPr="006B461B" w:rsidRDefault="006B461B" w:rsidP="00B752C2">
      <w:pPr>
        <w:tabs>
          <w:tab w:val="left" w:pos="4500"/>
        </w:tabs>
        <w:jc w:val="center"/>
        <w:rPr>
          <w:b/>
          <w:sz w:val="28"/>
          <w:szCs w:val="28"/>
        </w:rPr>
      </w:pPr>
      <w:r w:rsidRPr="006B461B">
        <w:rPr>
          <w:b/>
          <w:sz w:val="28"/>
          <w:szCs w:val="28"/>
        </w:rPr>
        <w:t xml:space="preserve"> </w:t>
      </w:r>
      <w:r w:rsidR="0067223D" w:rsidRPr="006B461B">
        <w:rPr>
          <w:b/>
          <w:sz w:val="28"/>
          <w:szCs w:val="28"/>
        </w:rPr>
        <w:t xml:space="preserve">(Rosanna </w:t>
      </w:r>
      <w:proofErr w:type="spellStart"/>
      <w:r w:rsidR="0067223D" w:rsidRPr="006B461B">
        <w:rPr>
          <w:b/>
          <w:sz w:val="28"/>
          <w:szCs w:val="28"/>
        </w:rPr>
        <w:t>Balistreri</w:t>
      </w:r>
      <w:proofErr w:type="spellEnd"/>
      <w:r w:rsidR="002E4FB4">
        <w:rPr>
          <w:b/>
          <w:sz w:val="28"/>
          <w:szCs w:val="28"/>
        </w:rPr>
        <w:t>, M.A.</w:t>
      </w:r>
      <w:r w:rsidR="0067223D" w:rsidRPr="006B461B">
        <w:rPr>
          <w:b/>
          <w:sz w:val="28"/>
          <w:szCs w:val="28"/>
        </w:rPr>
        <w:t>)</w:t>
      </w:r>
    </w:p>
    <w:p w:rsidR="006B461B" w:rsidRPr="006B461B" w:rsidRDefault="006B461B" w:rsidP="00B752C2">
      <w:pPr>
        <w:tabs>
          <w:tab w:val="left" w:pos="4500"/>
        </w:tabs>
        <w:jc w:val="center"/>
        <w:rPr>
          <w:b/>
          <w:sz w:val="28"/>
          <w:szCs w:val="28"/>
        </w:rPr>
      </w:pPr>
      <w:r w:rsidRPr="006B461B">
        <w:rPr>
          <w:b/>
          <w:sz w:val="28"/>
          <w:szCs w:val="28"/>
        </w:rPr>
        <w:t>May 2014</w:t>
      </w:r>
    </w:p>
    <w:p w:rsidR="00565FC9" w:rsidRPr="00FA42BF" w:rsidRDefault="00565FC9" w:rsidP="00565FC9">
      <w:pPr>
        <w:jc w:val="center"/>
        <w:rPr>
          <w:b/>
        </w:rPr>
      </w:pPr>
      <w:bookmarkStart w:id="0" w:name="_GoBack"/>
      <w:bookmarkEnd w:id="0"/>
    </w:p>
    <w:p w:rsidR="00502DD3" w:rsidRPr="006B461B" w:rsidRDefault="00565FC9" w:rsidP="00565FC9">
      <w:r w:rsidRPr="006B461B">
        <w:t xml:space="preserve">This is a training activity I use with students on the last day of </w:t>
      </w:r>
      <w:r w:rsidR="009365F5" w:rsidRPr="006B461B">
        <w:t xml:space="preserve">Healthcare Interpreting </w:t>
      </w:r>
      <w:r w:rsidR="00D162E0" w:rsidRPr="006B461B">
        <w:t>T</w:t>
      </w:r>
      <w:r w:rsidRPr="006B461B">
        <w:t xml:space="preserve">raining as a way to review </w:t>
      </w:r>
      <w:r w:rsidR="009365F5" w:rsidRPr="006B461B">
        <w:t>key points collectively and interactively.</w:t>
      </w:r>
      <w:r w:rsidR="00D162E0" w:rsidRPr="006B461B">
        <w:t xml:space="preserve">  </w:t>
      </w:r>
    </w:p>
    <w:p w:rsidR="00502DD3" w:rsidRPr="006B461B" w:rsidRDefault="00502DD3" w:rsidP="00502DD3">
      <w:pPr>
        <w:jc w:val="both"/>
      </w:pPr>
    </w:p>
    <w:p w:rsidR="00502DD3" w:rsidRPr="006B461B" w:rsidRDefault="00502DD3" w:rsidP="00FA42BF">
      <w:r w:rsidRPr="006B461B">
        <w:t>This a</w:t>
      </w:r>
      <w:r w:rsidR="001D5303" w:rsidRPr="006B461B">
        <w:t>ctivity works well for language-</w:t>
      </w:r>
      <w:r w:rsidRPr="006B461B">
        <w:t>specific training or when training in English to a multilingual audience, where LLD speakers may be present.  Speaker</w:t>
      </w:r>
      <w:r w:rsidR="0067223D" w:rsidRPr="006B461B">
        <w:t xml:space="preserve">s </w:t>
      </w:r>
      <w:r w:rsidRPr="006B461B">
        <w:t>of the same</w:t>
      </w:r>
      <w:r w:rsidR="00FA42BF" w:rsidRPr="006B461B">
        <w:t xml:space="preserve"> language</w:t>
      </w:r>
      <w:r w:rsidRPr="006B461B">
        <w:t xml:space="preserve"> may choose to create their own group (or team) and discuss/brainstorm the material in their language.</w:t>
      </w:r>
    </w:p>
    <w:p w:rsidR="009365F5" w:rsidRPr="006B461B" w:rsidRDefault="009365F5" w:rsidP="00FA42BF"/>
    <w:p w:rsidR="009365F5" w:rsidRPr="006B461B" w:rsidRDefault="009365F5" w:rsidP="00565FC9">
      <w:r w:rsidRPr="006B461B">
        <w:rPr>
          <w:b/>
        </w:rPr>
        <w:t xml:space="preserve">Required Material:  </w:t>
      </w:r>
      <w:r w:rsidR="00063B9C" w:rsidRPr="006B461B">
        <w:t xml:space="preserve">Flip Chart </w:t>
      </w:r>
      <w:r w:rsidRPr="006B461B">
        <w:t>with adhesive back or tape</w:t>
      </w:r>
      <w:r w:rsidR="00063B9C" w:rsidRPr="006B461B">
        <w:t xml:space="preserve">; </w:t>
      </w:r>
      <w:r w:rsidRPr="006B461B">
        <w:t>markers in multiple colors</w:t>
      </w:r>
      <w:r w:rsidR="00171E2F" w:rsidRPr="006B461B">
        <w:t>.</w:t>
      </w:r>
    </w:p>
    <w:p w:rsidR="009365F5" w:rsidRPr="006B461B" w:rsidRDefault="009365F5" w:rsidP="00565FC9"/>
    <w:p w:rsidR="00063B9C" w:rsidRPr="006B461B" w:rsidRDefault="004F7E68" w:rsidP="00565FC9">
      <w:r w:rsidRPr="006B461B">
        <w:rPr>
          <w:b/>
        </w:rPr>
        <w:t>Activity</w:t>
      </w:r>
      <w:r w:rsidR="009365F5" w:rsidRPr="006B461B">
        <w:rPr>
          <w:b/>
        </w:rPr>
        <w:t>:</w:t>
      </w:r>
      <w:r w:rsidR="009365F5" w:rsidRPr="006B461B">
        <w:t xml:space="preserve">  </w:t>
      </w:r>
    </w:p>
    <w:p w:rsidR="00063B9C" w:rsidRPr="006B461B" w:rsidRDefault="009365F5" w:rsidP="00063B9C">
      <w:pPr>
        <w:pStyle w:val="ListParagraph"/>
        <w:numPr>
          <w:ilvl w:val="0"/>
          <w:numId w:val="1"/>
        </w:numPr>
      </w:pPr>
      <w:r w:rsidRPr="006B461B">
        <w:t>Us</w:t>
      </w:r>
      <w:r w:rsidR="00063B9C" w:rsidRPr="006B461B">
        <w:t>e the following he</w:t>
      </w:r>
      <w:r w:rsidR="00E307CF" w:rsidRPr="006B461B">
        <w:t xml:space="preserve">aders for each flipchart sheet </w:t>
      </w:r>
      <w:r w:rsidR="00063B9C" w:rsidRPr="006B461B">
        <w:t>- “Interpreting Protocols”; “Standards, Roles”; “</w:t>
      </w:r>
      <w:r w:rsidRPr="006B461B">
        <w:t>Interpreting Skills</w:t>
      </w:r>
      <w:r w:rsidR="00063B9C" w:rsidRPr="006B461B">
        <w:t>”; “</w:t>
      </w:r>
      <w:r w:rsidRPr="006B461B">
        <w:t>Systemic Barriers for LEPs</w:t>
      </w:r>
      <w:r w:rsidR="00063B9C" w:rsidRPr="006B461B">
        <w:t>”; “</w:t>
      </w:r>
      <w:r w:rsidRPr="006B461B">
        <w:t>National and State Regulatory Landscape on Language Access</w:t>
      </w:r>
      <w:r w:rsidR="00063B9C" w:rsidRPr="006B461B">
        <w:t>” – stick each sheet around the room in a random order.</w:t>
      </w:r>
    </w:p>
    <w:p w:rsidR="00063B9C" w:rsidRPr="006B461B" w:rsidRDefault="00063B9C" w:rsidP="00063B9C">
      <w:pPr>
        <w:pStyle w:val="ListParagraph"/>
        <w:numPr>
          <w:ilvl w:val="0"/>
          <w:numId w:val="1"/>
        </w:numPr>
      </w:pPr>
      <w:r w:rsidRPr="006B461B">
        <w:t>Divide class into small groups</w:t>
      </w:r>
      <w:r w:rsidR="00D162E0" w:rsidRPr="006B461B">
        <w:t xml:space="preserve"> (or teams)</w:t>
      </w:r>
      <w:r w:rsidRPr="006B461B">
        <w:t xml:space="preserve"> of 3 or 4 participants</w:t>
      </w:r>
    </w:p>
    <w:p w:rsidR="00063B9C" w:rsidRPr="006B461B" w:rsidRDefault="00063B9C" w:rsidP="00063B9C">
      <w:pPr>
        <w:pStyle w:val="ListParagraph"/>
        <w:numPr>
          <w:ilvl w:val="0"/>
          <w:numId w:val="1"/>
        </w:numPr>
      </w:pPr>
      <w:r w:rsidRPr="006B461B">
        <w:t>Direct each group</w:t>
      </w:r>
      <w:r w:rsidR="00D162E0" w:rsidRPr="006B461B">
        <w:t xml:space="preserve"> (or team)</w:t>
      </w:r>
      <w:r w:rsidRPr="006B461B">
        <w:t xml:space="preserve"> to choose a flip chart to start with and to rotate in a clockwise direction to the next flipchart sheet on the wall upon instructor’s cue.</w:t>
      </w:r>
    </w:p>
    <w:p w:rsidR="00063B9C" w:rsidRPr="006B461B" w:rsidRDefault="00063B9C" w:rsidP="00063B9C">
      <w:pPr>
        <w:pStyle w:val="ListParagraph"/>
        <w:numPr>
          <w:ilvl w:val="0"/>
          <w:numId w:val="1"/>
        </w:numPr>
      </w:pPr>
      <w:r w:rsidRPr="006B461B">
        <w:t>Once Trainer gives the green l</w:t>
      </w:r>
      <w:r w:rsidR="001D5303" w:rsidRPr="006B461B">
        <w:t>ight to start, each group has 15</w:t>
      </w:r>
      <w:r w:rsidRPr="006B461B">
        <w:t xml:space="preserve"> seconds to fill out each flipchart with as many points or information that relates to the header on the flip chart.</w:t>
      </w:r>
    </w:p>
    <w:p w:rsidR="001D5303" w:rsidRPr="006B461B" w:rsidRDefault="00063B9C" w:rsidP="001D5303">
      <w:pPr>
        <w:pStyle w:val="ListParagraph"/>
        <w:numPr>
          <w:ilvl w:val="0"/>
          <w:numId w:val="1"/>
        </w:numPr>
      </w:pPr>
      <w:r w:rsidRPr="006B461B">
        <w:t>Instructor keeps track of time and every 15 seconds provides the cue to groups to move onto the next flipchart sheet on the wall.</w:t>
      </w:r>
    </w:p>
    <w:p w:rsidR="001D5303" w:rsidRPr="006B461B" w:rsidRDefault="00D162E0" w:rsidP="001D5303">
      <w:pPr>
        <w:pStyle w:val="ListParagraph"/>
        <w:numPr>
          <w:ilvl w:val="0"/>
          <w:numId w:val="1"/>
        </w:numPr>
      </w:pPr>
      <w:r w:rsidRPr="006B461B">
        <w:t>Participants can also have a chance to correct and replace information by the other teams</w:t>
      </w:r>
      <w:r w:rsidR="00FA42BF" w:rsidRPr="006B461B">
        <w:t>.</w:t>
      </w:r>
    </w:p>
    <w:p w:rsidR="001D5303" w:rsidRPr="006B461B" w:rsidRDefault="001D5303" w:rsidP="00C24CB4">
      <w:pPr>
        <w:pStyle w:val="ListParagraph"/>
        <w:numPr>
          <w:ilvl w:val="0"/>
          <w:numId w:val="1"/>
        </w:numPr>
      </w:pPr>
      <w:r w:rsidRPr="006B461B">
        <w:t>The activity completes by allowing another 10 minutes for a whole-class review of the information that each group was able to add onto each individual flipchart sheet; the whole class, as one big group, assesses the points that need to be revised or re-organized, or whether there may be additional points that should be added based on the of the healthcare interpreting training.</w:t>
      </w:r>
    </w:p>
    <w:p w:rsidR="001D5303" w:rsidRPr="006B461B" w:rsidRDefault="001D5303" w:rsidP="001D5303">
      <w:pPr>
        <w:pStyle w:val="ListParagraph"/>
        <w:numPr>
          <w:ilvl w:val="0"/>
          <w:numId w:val="1"/>
        </w:numPr>
      </w:pPr>
      <w:r w:rsidRPr="006B461B">
        <w:t>The purpose of the activity is to allow students to review training material by doing a quick brainstorming first in small groups, and finally as a whole-class debrief.</w:t>
      </w:r>
      <w:r w:rsidR="00605B6F" w:rsidRPr="006B461B">
        <w:t xml:space="preserve">  </w:t>
      </w:r>
    </w:p>
    <w:p w:rsidR="00565FC9" w:rsidRPr="006B461B" w:rsidRDefault="00565FC9" w:rsidP="001D5303">
      <w:pPr>
        <w:pStyle w:val="ListParagraph"/>
        <w:ind w:left="380"/>
      </w:pPr>
    </w:p>
    <w:p w:rsidR="006F1F12" w:rsidRPr="006B461B" w:rsidRDefault="006F1F12" w:rsidP="006F1F12">
      <w:pPr>
        <w:pStyle w:val="ListParagraph"/>
        <w:ind w:left="0"/>
      </w:pPr>
    </w:p>
    <w:p w:rsidR="006F1F12" w:rsidRDefault="006F1F12" w:rsidP="00E054AE">
      <w:pPr>
        <w:rPr>
          <w:b/>
        </w:rPr>
      </w:pPr>
      <w:r w:rsidRPr="006B461B">
        <w:rPr>
          <w:b/>
        </w:rPr>
        <w:t xml:space="preserve">Please give us </w:t>
      </w:r>
      <w:r w:rsidR="006B461B" w:rsidRPr="006B461B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1285036" wp14:editId="129A03EF">
            <wp:simplePos x="0" y="0"/>
            <wp:positionH relativeFrom="margin">
              <wp:posOffset>0</wp:posOffset>
            </wp:positionH>
            <wp:positionV relativeFrom="margin">
              <wp:posOffset>7415530</wp:posOffset>
            </wp:positionV>
            <wp:extent cx="804672" cy="722376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IHC_logo_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61B">
        <w:rPr>
          <w:b/>
        </w:rPr>
        <w:t xml:space="preserve">feedback on this tip at: </w:t>
      </w:r>
      <w:hyperlink r:id="rId8" w:history="1">
        <w:r w:rsidRPr="006B461B">
          <w:rPr>
            <w:rStyle w:val="Hyperlink"/>
            <w:b/>
          </w:rPr>
          <w:t>https://www.surveymonkey.com/s/N8WTM55</w:t>
        </w:r>
      </w:hyperlink>
      <w:r>
        <w:rPr>
          <w:b/>
        </w:rPr>
        <w:t xml:space="preserve"> </w:t>
      </w:r>
    </w:p>
    <w:p w:rsidR="006B461B" w:rsidRDefault="006B461B" w:rsidP="006F1F12">
      <w:pPr>
        <w:pStyle w:val="ListParagraph"/>
        <w:ind w:left="0"/>
        <w:rPr>
          <w:b/>
        </w:rPr>
      </w:pPr>
    </w:p>
    <w:p w:rsidR="006B461B" w:rsidRDefault="006B461B" w:rsidP="006F1F12">
      <w:pPr>
        <w:pStyle w:val="ListParagraph"/>
        <w:ind w:left="0"/>
        <w:rPr>
          <w:b/>
        </w:rPr>
      </w:pPr>
    </w:p>
    <w:p w:rsidR="006B461B" w:rsidRDefault="006B461B" w:rsidP="006B461B">
      <w:pPr>
        <w:rPr>
          <w:rFonts w:ascii="Cambria" w:hAnsi="Cambria"/>
          <w:color w:val="1F497D" w:themeColor="text2"/>
          <w:sz w:val="22"/>
          <w:szCs w:val="22"/>
        </w:rPr>
      </w:pPr>
    </w:p>
    <w:p w:rsidR="006B461B" w:rsidRPr="00E506B8" w:rsidRDefault="006B461B" w:rsidP="006B461B">
      <w:pPr>
        <w:rPr>
          <w:rFonts w:ascii="Cambria" w:hAnsi="Cambria"/>
          <w:color w:val="1F497D" w:themeColor="text2"/>
          <w:sz w:val="22"/>
          <w:szCs w:val="22"/>
        </w:rPr>
      </w:pPr>
      <w:r w:rsidRPr="00E506B8">
        <w:rPr>
          <w:rFonts w:ascii="Cambria" w:hAnsi="Cambria"/>
          <w:color w:val="1F497D" w:themeColor="text2"/>
          <w:sz w:val="22"/>
          <w:szCs w:val="22"/>
        </w:rPr>
        <w:t>National Council on Interpreting</w:t>
      </w:r>
    </w:p>
    <w:p w:rsidR="006B461B" w:rsidRPr="00E506B8" w:rsidRDefault="006B461B" w:rsidP="006B461B">
      <w:pPr>
        <w:rPr>
          <w:rFonts w:ascii="Cambria" w:hAnsi="Cambria"/>
          <w:color w:val="1F497D" w:themeColor="text2"/>
          <w:sz w:val="22"/>
          <w:szCs w:val="22"/>
        </w:rPr>
      </w:pPr>
      <w:proofErr w:type="gramStart"/>
      <w:r w:rsidRPr="00E506B8">
        <w:rPr>
          <w:rFonts w:ascii="Cambria" w:hAnsi="Cambria"/>
          <w:color w:val="1F497D" w:themeColor="text2"/>
          <w:sz w:val="22"/>
          <w:szCs w:val="22"/>
        </w:rPr>
        <w:t>in</w:t>
      </w:r>
      <w:proofErr w:type="gramEnd"/>
      <w:r w:rsidRPr="00E506B8">
        <w:rPr>
          <w:rFonts w:ascii="Cambria" w:hAnsi="Cambria"/>
          <w:color w:val="1F497D" w:themeColor="text2"/>
          <w:sz w:val="22"/>
          <w:szCs w:val="22"/>
        </w:rPr>
        <w:t xml:space="preserve"> Health Care</w:t>
      </w:r>
    </w:p>
    <w:p w:rsidR="006B461B" w:rsidRPr="006F1F12" w:rsidRDefault="006B461B" w:rsidP="006F1F12">
      <w:pPr>
        <w:pStyle w:val="ListParagraph"/>
        <w:ind w:left="0"/>
        <w:rPr>
          <w:b/>
        </w:rPr>
      </w:pPr>
    </w:p>
    <w:sectPr w:rsidR="006B461B" w:rsidRPr="006F1F12" w:rsidSect="006F1F12">
      <w:headerReference w:type="default" r:id="rId9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17" w:rsidRDefault="00F95917" w:rsidP="00CF16BE">
      <w:r>
        <w:separator/>
      </w:r>
    </w:p>
  </w:endnote>
  <w:endnote w:type="continuationSeparator" w:id="0">
    <w:p w:rsidR="00F95917" w:rsidRDefault="00F95917" w:rsidP="00CF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17" w:rsidRDefault="00F95917" w:rsidP="00CF16BE">
      <w:r>
        <w:separator/>
      </w:r>
    </w:p>
  </w:footnote>
  <w:footnote w:type="continuationSeparator" w:id="0">
    <w:p w:rsidR="00F95917" w:rsidRDefault="00F95917" w:rsidP="00CF1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1B" w:rsidRPr="008228BB" w:rsidRDefault="006B461B" w:rsidP="006B461B">
    <w:pPr>
      <w:jc w:val="center"/>
      <w:rPr>
        <w:rFonts w:ascii="Cambria" w:hAnsi="Cambria"/>
        <w:b/>
      </w:rPr>
    </w:pPr>
    <w:r w:rsidRPr="008228BB">
      <w:rPr>
        <w:rFonts w:ascii="Cambria" w:hAnsi="Cambria"/>
        <w:b/>
      </w:rPr>
      <w:t>LLD Training Tip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8"/>
      <w:gridCol w:w="2484"/>
      <w:gridCol w:w="486"/>
      <w:gridCol w:w="2466"/>
      <w:gridCol w:w="414"/>
      <w:gridCol w:w="2538"/>
    </w:tblGrid>
    <w:tr w:rsidR="006B461B" w:rsidRPr="008228BB" w:rsidTr="00DE5685">
      <w:tc>
        <w:tcPr>
          <w:tcW w:w="468" w:type="dxa"/>
        </w:tcPr>
        <w:p w:rsidR="006B461B" w:rsidRPr="008228BB" w:rsidRDefault="006B461B" w:rsidP="006B461B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X</w:t>
          </w:r>
        </w:p>
      </w:tc>
      <w:tc>
        <w:tcPr>
          <w:tcW w:w="2484" w:type="dxa"/>
        </w:tcPr>
        <w:p w:rsidR="006B461B" w:rsidRPr="008228BB" w:rsidRDefault="006B461B" w:rsidP="006B461B">
          <w:pPr>
            <w:jc w:val="center"/>
            <w:rPr>
              <w:rFonts w:ascii="Cambria" w:hAnsi="Cambria"/>
            </w:rPr>
          </w:pPr>
          <w:r w:rsidRPr="008228BB">
            <w:rPr>
              <w:rFonts w:ascii="Cambria" w:hAnsi="Cambria"/>
            </w:rPr>
            <w:t>Content and Practice</w:t>
          </w:r>
        </w:p>
      </w:tc>
      <w:tc>
        <w:tcPr>
          <w:tcW w:w="486" w:type="dxa"/>
        </w:tcPr>
        <w:p w:rsidR="006B461B" w:rsidRPr="008228BB" w:rsidRDefault="006B461B" w:rsidP="006B461B">
          <w:pPr>
            <w:jc w:val="center"/>
            <w:rPr>
              <w:rFonts w:ascii="Cambria" w:hAnsi="Cambria"/>
            </w:rPr>
          </w:pPr>
        </w:p>
      </w:tc>
      <w:tc>
        <w:tcPr>
          <w:tcW w:w="2466" w:type="dxa"/>
        </w:tcPr>
        <w:p w:rsidR="006B461B" w:rsidRPr="008228BB" w:rsidRDefault="006B461B" w:rsidP="006B461B">
          <w:pPr>
            <w:jc w:val="center"/>
            <w:rPr>
              <w:rFonts w:ascii="Cambria" w:hAnsi="Cambria"/>
            </w:rPr>
          </w:pPr>
          <w:r w:rsidRPr="008228BB">
            <w:rPr>
              <w:rFonts w:ascii="Cambria" w:hAnsi="Cambria"/>
            </w:rPr>
            <w:t>Language Assessment</w:t>
          </w:r>
        </w:p>
      </w:tc>
      <w:tc>
        <w:tcPr>
          <w:tcW w:w="414" w:type="dxa"/>
        </w:tcPr>
        <w:p w:rsidR="006B461B" w:rsidRPr="008228BB" w:rsidRDefault="006B461B" w:rsidP="006B461B">
          <w:pPr>
            <w:jc w:val="center"/>
            <w:rPr>
              <w:rFonts w:ascii="Cambria" w:hAnsi="Cambria"/>
            </w:rPr>
          </w:pPr>
        </w:p>
      </w:tc>
      <w:tc>
        <w:tcPr>
          <w:tcW w:w="2538" w:type="dxa"/>
        </w:tcPr>
        <w:p w:rsidR="006B461B" w:rsidRPr="008228BB" w:rsidRDefault="006B461B" w:rsidP="006B461B">
          <w:pPr>
            <w:jc w:val="center"/>
            <w:rPr>
              <w:rFonts w:ascii="Cambria" w:hAnsi="Cambria"/>
            </w:rPr>
          </w:pPr>
          <w:r w:rsidRPr="008228BB">
            <w:rPr>
              <w:rFonts w:ascii="Cambria" w:hAnsi="Cambria"/>
            </w:rPr>
            <w:t>Recruitment</w:t>
          </w:r>
        </w:p>
      </w:tc>
    </w:tr>
  </w:tbl>
  <w:p w:rsidR="006B461B" w:rsidRPr="006B461B" w:rsidRDefault="006B461B" w:rsidP="006B46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F450D"/>
    <w:multiLevelType w:val="hybridMultilevel"/>
    <w:tmpl w:val="B3E87988"/>
    <w:lvl w:ilvl="0" w:tplc="B6380C6A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C9"/>
    <w:rsid w:val="00063B9C"/>
    <w:rsid w:val="00160873"/>
    <w:rsid w:val="00171E2F"/>
    <w:rsid w:val="001D5303"/>
    <w:rsid w:val="002E4FB4"/>
    <w:rsid w:val="00487A57"/>
    <w:rsid w:val="00494062"/>
    <w:rsid w:val="004C2DAE"/>
    <w:rsid w:val="004F7E68"/>
    <w:rsid w:val="00502DD3"/>
    <w:rsid w:val="00565FC9"/>
    <w:rsid w:val="00605B6F"/>
    <w:rsid w:val="0067223D"/>
    <w:rsid w:val="006B461B"/>
    <w:rsid w:val="006F1F12"/>
    <w:rsid w:val="00721C37"/>
    <w:rsid w:val="007B73EC"/>
    <w:rsid w:val="009365F5"/>
    <w:rsid w:val="009C26EE"/>
    <w:rsid w:val="00A24F40"/>
    <w:rsid w:val="00B36029"/>
    <w:rsid w:val="00B3671A"/>
    <w:rsid w:val="00B752C2"/>
    <w:rsid w:val="00C24CB4"/>
    <w:rsid w:val="00CA062B"/>
    <w:rsid w:val="00CB67C1"/>
    <w:rsid w:val="00CF16BE"/>
    <w:rsid w:val="00D162E0"/>
    <w:rsid w:val="00E024A7"/>
    <w:rsid w:val="00E054AE"/>
    <w:rsid w:val="00E307CF"/>
    <w:rsid w:val="00F27F30"/>
    <w:rsid w:val="00F41007"/>
    <w:rsid w:val="00F95917"/>
    <w:rsid w:val="00FA42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F833CD-0792-47AB-94B2-B89C5365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B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1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E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F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BE"/>
  </w:style>
  <w:style w:type="paragraph" w:styleId="Footer">
    <w:name w:val="footer"/>
    <w:basedOn w:val="Normal"/>
    <w:link w:val="FooterChar"/>
    <w:uiPriority w:val="99"/>
    <w:unhideWhenUsed/>
    <w:rsid w:val="00CF1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BE"/>
  </w:style>
  <w:style w:type="table" w:styleId="TableGrid">
    <w:name w:val="Table Grid"/>
    <w:basedOn w:val="TableNormal"/>
    <w:rsid w:val="006B461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s/N8WTM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REACH-reaching diversity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Balistreri</dc:creator>
  <cp:lastModifiedBy>Katherine Langan</cp:lastModifiedBy>
  <cp:revision>9</cp:revision>
  <cp:lastPrinted>2015-05-24T06:44:00Z</cp:lastPrinted>
  <dcterms:created xsi:type="dcterms:W3CDTF">2014-05-09T15:29:00Z</dcterms:created>
  <dcterms:modified xsi:type="dcterms:W3CDTF">2015-05-24T06:54:00Z</dcterms:modified>
</cp:coreProperties>
</file>